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760" w:leader="none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Таблица соответствия кодов по строкам раздела 2 ф. № 4-ТЭР (годовая) «Сведения об использовании топливно – энергетических ресурсов» с кодами ОКПД2 раздела 1 формы № 1-натура-БМ (годовая) «Сведения о производстве, отгрузке продукции (товаров, работ, услуг) и балансе производственных мощностей»</w:t>
      </w:r>
    </w:p>
    <w:tbl>
      <w:tblPr>
        <w:tblW w:w="1531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10"/>
        <w:gridCol w:w="850"/>
        <w:gridCol w:w="4959"/>
        <w:gridCol w:w="6804"/>
        <w:gridCol w:w="1136"/>
        <w:gridCol w:w="851"/>
      </w:tblGrid>
      <w:tr>
        <w:trPr>
          <w:tblHeader w:val="true"/>
          <w:trHeight w:val="1111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 4-ТЭР, раздел 2</w:t>
            </w:r>
          </w:p>
          <w:p>
            <w:pPr>
              <w:pStyle w:val="Normal"/>
              <w:spacing w:lineRule="atLeast" w:line="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  и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 на соответствие с данными 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формы № 1-Натура-БМ  по кодам ОКПД2 (однозначное или сумма кодов ОКПД2)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Кодовое буквенное обозначение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ind w:lef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</w:t>
            </w:r>
            <w:r>
              <w:rPr>
                <w:rFonts w:ascii="Times New Roman" w:hAnsi="Times New Roman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ОКЕИ</w:t>
            </w:r>
          </w:p>
        </w:tc>
      </w:tr>
      <w:tr>
        <w:trPr>
          <w:trHeight w:val="1182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Электроэнергия, отпущенная электростанциями, работающими на котельно-печном топливе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(раздел 2 гр1+гр2).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(35.11.10.111+35.11.10.112+35.11.10.113+</w:t>
            </w:r>
            <w:r>
              <w:rPr>
                <w:rFonts w:ascii="Times New Roman" w:hAnsi="Times New Roman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sz w:val="20"/>
                <w:szCs w:val="20"/>
              </w:rPr>
              <w:t>35.11.10.121+35.11.10.122+ 35.11.10.101.АГ)*1000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мегаВт.ч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ind w:left="-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</w:tr>
      <w:tr>
        <w:trPr>
          <w:trHeight w:val="510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Электроэнергия, отпущенная теплоэлектроцентралями (ТЭЦ) общего назначения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(раздел 2 гр1+гр2).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35.11.10.112*1000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мегаВт.ч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</w:tr>
      <w:tr>
        <w:trPr>
          <w:trHeight w:val="57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Электроэнергия, отпущенная блок-станциями ТЭЦ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(раздел 2 гр1+гр2).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35.11.10.122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мегаВт.ч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</w:tr>
      <w:tr>
        <w:trPr>
          <w:trHeight w:val="88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Электроэнергия, отпущенная дизельными электростанциями (работающими от двигателей внутреннего сгорания)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(раздел 2 гр1+гр2).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(35.11.10.114+ 35.11.10.103.АГ+35.11.10.10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.АГ) 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мегаВт.ч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</w:tr>
      <w:tr>
        <w:trPr>
          <w:trHeight w:val="844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Тепловая энергия, отпущенная электро-станциями, работающими на котельно-печном топливе)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(раздел 2 гр1+гр3).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(35.30.11.111+35.30.11.119)*1000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гигакал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</w:tr>
      <w:tr>
        <w:trPr>
          <w:trHeight w:val="71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33+ 32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Потери тепловой энергии, произведенной котельными (гр.1)   Тепловая энергия, отпущенная котельными) (раздел 2 гр1+гр3).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35.30.11.120*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гигакал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</w:tr>
      <w:tr>
        <w:trPr>
          <w:trHeight w:val="510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Тепловая энергия, отпущенная электро-бойлерными установками (электрокотлами)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(раздел 2 гр1+гр3).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35.30.11.130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гигакал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</w:tr>
      <w:tr>
        <w:trPr>
          <w:trHeight w:val="58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Нефть добытая, включая газовый конденсат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(06.10.10.200+ 06.10.10.410)*1000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340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Переработка нефти, включая газовый конденсат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19.20.21.001АГ*1000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06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1.АГ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Добыча газа природного и попутного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(06.20.10.110+06.20.10.120)*1000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</w:tr>
      <w:tr>
        <w:trPr>
          <w:trHeight w:val="68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Газа горючего природного (газа естественного)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06.20.10.110*1000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</w:tr>
      <w:tr>
        <w:trPr>
          <w:trHeight w:val="70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Газа нефтяного попутного (газа горючего природного нефтяных месторождений)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06.20.10.120*1000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</w:tr>
      <w:tr>
        <w:trPr>
          <w:trHeight w:val="47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Добыча угля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(05.10.10.110+05.10.10.120+05.10.10.130+05.20.10.110)*1000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7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Переработка угля (обогащение)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(05.10.10.141+05.10.10.142+05.10.10.143+05.20.10.120)*1000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69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Добыча торфа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2726" w:leader="none"/>
              </w:tabs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(08.92.10.111+08.92.10.112+08.92.10.113+08.92.10.114+08.92.10.115+ 08.92.10.119+08.92.10.121+08.92.10.122)*1000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0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Руда железная; концентрат железорудный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(07.10.10.120+07.10.10.131+07.10.10.132+07.10.10.133+07.10.10.134)*1000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1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Агломерат железорудный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07.10.10.140*1000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2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Окатыши железорудные (окисленные)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(07.10.10.151+07.10.10.152)*1000</w:t>
            </w:r>
          </w:p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7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Чугун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(24.10.11.110+24.10.11.120+24.10.11.130)*1000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846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24.10.21.110+24.10.21.120+24.10.21.130+24.10.21.140+24.10.21.190+ 24.10.22.110+24.10.22.120+24.10.22.130+24.10.22.140+24.10.22.190+ 24.10.23.110+24.10.23.120+24.10.23.130+24.10.23.140+24.10.23.190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992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Прокат готовый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24.30.31+24.10.32+24.10.33+24.10.34+24.10.35+24.10.36+24.10.41+24.10.42+24.10.43+24.10.53+24.10.54+24.10.55+24.10.61+24.10.62+24.10.63+24.10.64+24.10.65+24.10.66+24.10.67+24.10.71+24.10.72+24.10.73+24.10.74+24.10.75+24.10.8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114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Трубы стальные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24.20.11+24.20.12.110+24.20.12.120+24.20.12.130+24.20.13.110+24.20.13.120+24.20.13.130+24.20.13.140+24.20.13.150+24.20.13.160+24.20.13.190+ 24.20.14.110+24.20.14.120+24.20.21+24.20.22+24.20.23+24.20.24+24.20.31+ 24.20.32+24.20.33+24.20.34+24.20.35+24.20.40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69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Кокс и полукокс из каменного угля, бурого угля (лигнита) или торфа, уголь ретортный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19.10.10*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7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Добыча медной руды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07.29.11.110*1000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5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Концентраты медные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07.29.11.120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2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Добыча никелевой руды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07.29.12.110*1000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7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Концентраты никелевые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07.29.12.120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5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Добыча свинцово-цинковой руды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07.29.15.110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3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Концентраты свинцовые, цинковые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07.29.15.120+07.29.15.140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1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Алюминий первичный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24.42.11.110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6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Углеводороды ациклические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20.14.11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7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Карбонат динатрия (карбонат натрия, сода кальцинированная)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20.13.43.110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2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Гидроксид натрия (сода каустическая)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20.13.25.111*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7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Удобрения калийные минеральные или химические (в пересчете на 100% калия)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20.15.59.001.АГ*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6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Удобрения фосфорные минеральные или химические (в пересчете на 100% фосфора)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20.15.41.001.АГ*1000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5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1379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Удобрения азотные минеральные или химические (в пересчете на 100% азота)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20.15.39.001.А Г*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8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Пластмассы в первичных формах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20.16.10+20.16.20+20.16.30+20.16.40+20.16.51+20.16.52+20.16.53+20.16.54+20.16.55+20.16.56+20.16.57+20.16.59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6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Каучуки синтетические в первичных формах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20.17.10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1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1534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Материалы лакокрасочные и аналогичные для нанесения покрытий,  полиграфические краски и мастики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20.30.11+20.30.12+20.30.21+20.30.22+20.30.23+20.30.24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69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Шины и покрышки пневматические для автобусов, троллейбусов и грузовых автомобилей новые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22.11.13.110*1000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702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Шины и покрышки пневматические для легковых автомобилей новые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22.11.11*1000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62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Лесоматериалы необработанные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02.20.11.110+02.20.11.120+02.20.11.130+02.20.11.140+02.20.11.150+ 02.20.11.160+02.20.11.170+02.20.11.180+02.20.11.190+02.20.12+02.20.14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плотн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</w:tr>
      <w:tr>
        <w:trPr>
          <w:trHeight w:val="996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Лесоматериалы, продольно распиленные или расколотые, разделенные на слои или лущеные, толщиной более 6 мм; деревянные  железнодорожные или трамвайные шпалы, непропитанные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16.10.10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</w:tr>
      <w:tr>
        <w:trPr>
          <w:trHeight w:val="74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Фанера, панели деревянные фанерованные и аналогичные материалы слоистые из древесины прочие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16.21.12.110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</w:tr>
      <w:tr>
        <w:trPr>
          <w:trHeight w:val="70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Плиты древесноволокнистые из древесины или других одревесневших материалов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16.21.14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усл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</w:tr>
      <w:tr>
        <w:trPr>
          <w:trHeight w:val="71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Плиты древесностружечные и аналогичные плиты из древесины или других одревесневших материалов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16.21.13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усл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</w:tr>
      <w:tr>
        <w:trPr>
          <w:trHeight w:val="55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Целлюлоза древесная и целлюлоза из прочих волокнистых материалов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17.11.11+17.11.12+17.11.13+17.11.14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4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5.АГ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Бумага и картон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68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Пески природные; гранулы, крошка и порошок; галька, гравий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08.12.11+08.12.12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</w:tr>
      <w:tr>
        <w:trPr>
          <w:trHeight w:val="56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23.51.12*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1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Клинкеры цементные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23.51.11*1000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6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Кирпич керамический неогнеупорный строительный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23.32.11.110*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усл кирп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</w:t>
            </w:r>
          </w:p>
        </w:tc>
      </w:tr>
      <w:tr>
        <w:trPr>
          <w:trHeight w:val="69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Кирпич строительный (включая камни) из цемента, бетона или искусственного камня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23.61.11.130* 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усл кирп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</w:t>
            </w:r>
          </w:p>
        </w:tc>
      </w:tr>
      <w:tr>
        <w:trPr>
          <w:trHeight w:val="70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Блоки стеновые силикатные; изделия аналогичные из цемента, бетона или искусственного камня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(23.61.11.141+23.61.11.190)*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усл кирп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</w:t>
            </w:r>
          </w:p>
        </w:tc>
      </w:tr>
      <w:tr>
        <w:trPr>
          <w:trHeight w:val="1046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Смеси асфальтобетонные дорожные, аэродромные и асфальтобетон (горячие, холодные)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(23.99.13.110+23.99.13.120)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480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Плиты и плитки керамические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23.31.10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058</w:t>
            </w:r>
          </w:p>
        </w:tc>
      </w:tr>
      <w:tr>
        <w:trPr>
          <w:trHeight w:val="99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23.61.12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</w:tr>
      <w:tr>
        <w:trPr>
          <w:trHeight w:val="57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Конструкции и детали конструкций из черных металлов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25.11.23.110*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0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Конструкции и детали конструкций из алюминия прочие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25.11.23.120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4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Мебель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</w:tr>
      <w:tr>
        <w:trPr>
          <w:trHeight w:val="55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Ткани хлопчатобумажные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13.20.20.110+13.20.20.120+13.20.20.130+13.20.20.190+13.20.42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058</w:t>
            </w:r>
          </w:p>
        </w:tc>
      </w:tr>
      <w:tr>
        <w:trPr>
          <w:trHeight w:val="57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Ткани льняные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13.20.13.110+13.20.13.120+13.20.13.130+13.20.13.140+13.20.13.190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058</w:t>
            </w:r>
          </w:p>
        </w:tc>
      </w:tr>
      <w:tr>
        <w:trPr>
          <w:trHeight w:val="69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Ткани шерстяные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13.20.12.140+13.20.12.150+13.20.12.190+13.20.12.210+13.20.12.220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058</w:t>
            </w:r>
          </w:p>
        </w:tc>
      </w:tr>
      <w:tr>
        <w:trPr>
          <w:trHeight w:val="1262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Ткани готовые из шелковых нитей или пряжи; ткани готовые из синтетических и искусственных волокон и нитей (включая штапельные)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13.20.11.120+13.20.11.130+ 13.20.11.140+13.20.31.120+13.20.31.130+ 13.20.31.140+ 13.20.31.160+13.20.31.170+  13.20.31.180+13.20.31.190+  13.20.32.120+13.20.32.130+  13.20.32.140+13.20.32.190+ 13.20.33.120+13.20.33.130+ 13.20.33.140+13.20.33.150+ 13.20.33.190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тыс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058</w:t>
            </w:r>
          </w:p>
        </w:tc>
      </w:tr>
      <w:tr>
        <w:trPr>
          <w:trHeight w:val="113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Изделия трикотажные или вязаные; одежда верхняя трикотажная или вязаная; изделия бельевые трикотажные или вязаные, включая  изделия  для детей младшего возраста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14.13.11+14.13.12+14.13.13+14.13.14+ 14.14.1+14.14.30+ 14.19.11.110+ 14.19.11.120+ 14.19.11.140+14.19.11.160+ 14.19.11.190+ 14.19.12+14.39.10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</w:tr>
      <w:tr>
        <w:trPr>
          <w:trHeight w:val="118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Кожа лаковая и кожа лаковая ламинированная; кожа металлизированная; кожа из целых шкур крупного рогатого скота без волосяного покрова; кожа из нецелых шкур крупного рогатого скота без волосяного покрова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15.11.22+15.11.31+15.11.32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дм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054</w:t>
            </w:r>
          </w:p>
        </w:tc>
      </w:tr>
      <w:tr>
        <w:trPr>
          <w:trHeight w:val="601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Обувь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15.20.11+15.20.12+15.20.13+15.20.14+15.20.21+15.20.29+15.20.3+15.20.40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пар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</w:t>
            </w:r>
          </w:p>
        </w:tc>
      </w:tr>
      <w:tr>
        <w:trPr>
          <w:trHeight w:val="978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Мясо и субпродукты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10.11.11+10.11.12+10.11.13+10.11.14+10.11.15+10.11.16+10.11.20+10.11.31+ 10.11.32+10.11.33+10.11.34+10.11.35+10.11.36+10.11.39+10.12.10+10.12.20+10.12.40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5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Сыры и продукты сырные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10.51.40.100+10.51.40.200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8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Кондитерские изделия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10.71.12+10.72.12+10.82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84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10.81.12.110+10.81.12.120+10.81.12.130+10.81.13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1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Изделия хлебобулочные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10.71.11.100+10.71.11.200+10.72.11.100+10.72.19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1136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Изделия колбасные, включая  изделия колбасные для детского питания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10.13.14.100+10.13.14.200+10.13.14.300+ 10.13.14.400+10.13.14.500+ 10.86.10.610+10.86.10.620+10.86.10.630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840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Молоко, молочные и кисломолочные продукты</w:t>
            </w:r>
          </w:p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10.51.11+10.86.10.110+10.51.12+10.51.52+10.51.40.310+ 10.51.40.320+10.51.40.330+10.51.40.340+10.51.40.350+ 10.51.40.360+10.51.56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1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Мука из зерновых культур, овощных и других растительных культур; смеси из них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10.61.21+10.61.22+10.61.23+10.61.24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82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Консервы рыбные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10.20.25.110/0,353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 усл 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</w:rPr>
              <w:t>банок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</w:tr>
      <w:tr>
        <w:trPr>
          <w:trHeight w:val="846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2653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Пресервы рыбные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10.20.25.120/0,353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усл банок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</w:tr>
      <w:tr>
        <w:trPr>
          <w:trHeight w:val="76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Масла растительные и их фракции нерафинированные; масло кукурузное иего фракции, нерафинированные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10.41.2+10.62.14.110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98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Масла растительные и их фракции рафинированные, но не подвергнутые химической модификации; масло кукурузное и его фракции, рафинированные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10.41.5+10.62.14.120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0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Масло сливочное и пасты масляные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10.51.30.100+10.51.30.200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71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2687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Пиво, кроме отходов пивоварения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11.05.10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дкл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</w:tr>
      <w:tr>
        <w:trPr>
          <w:trHeight w:val="55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2688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Сигареты; папиросы из табака или заменителей табака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(12.00.11.130+12.00.11.140)/1000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млн 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</w:tr>
      <w:tr>
        <w:trPr>
          <w:trHeight w:val="578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Комбикорма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10.91.10.181+10.91.10.182+10.91.10.183+10.91.10.184+ 10.91.10.185+10.91.10.186+10.91.10.187+10.91.10.188+ 10.91.10.189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</w:tr>
      <w:tr>
        <w:trPr>
          <w:trHeight w:val="55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Машины для уборки зерновых, масличных, бобовых и крупяных культур прочие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28.30.51+28.30.52+28.30.59.112+</w:t>
            </w:r>
            <w:r>
              <w:rPr>
                <w:rFonts w:ascii="Times New Roman" w:hAnsi="Times New Roman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sz w:val="20"/>
                <w:szCs w:val="20"/>
              </w:rPr>
              <w:t>28.30.59.113+28.30.59.114+28.30.59.119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70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Насосы центробежные подачи жидкостей прочие; насосы прочие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28.13.14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71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Электродвигатели мощностью не более750 Вт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27.11.10+27.11.23+27.11.21+27.11.22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72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2733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Электродвигатели переменного тока многофазные мощностью от 750 Вт до 75 кВт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27.11.24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70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2734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Электродвигатели переменного тока, многофазные, выходной мощностью более 75 кВт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76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2735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Провода и кабели   изолированные (кроме волоконно-оптических)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(27.32.12+27.32.13+ 27.32.14) /1000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 км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</w:t>
            </w:r>
          </w:p>
        </w:tc>
      </w:tr>
      <w:tr>
        <w:trPr>
          <w:trHeight w:val="84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2737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Двигатели внутреннего сгорания для автотранспортных средств и мотоциклов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29.10.1+30.91.3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57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Автомобили легковые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29.10.21+29.10.22+29.10.23+29.10.24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704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Автобусы (включая средства автотранспортные пассажирские с числом мест для сидения не менее 10 прочие)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29.10.30.110+ 29.10.30.130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56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автотранспортные грузовые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29.10.4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69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2766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29.10.44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695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29.10.59.130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577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2776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Тракторы для сельского хозяйства прочие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28.30.2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57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Комбайны зерноуборочные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28.30.59.111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423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Вагоны пассажирские железнодорожные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30.20.32.110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841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2782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Вагоны грузовые магистральные широкой  колеи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30.20.33.111+30.20.33.112+30.20.33.113+30.20.33.114+30.20.33.115+ 30.20.33.116+30.20.33.117+30.20.33.118+30.20.33.121+30.20.33.129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570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2783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Электровозы магистральные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30.20.11.110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422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2784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Тепловозы маневровые и промышленные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30.20.12.120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  <w:tr>
        <w:trPr>
          <w:trHeight w:val="569" w:hRule="exac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Вертолеты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30.30.31.110+30.30.31.120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567" w:gutter="0" w:header="284" w:top="1134" w:footer="0" w:bottom="426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0" w:customStyle="1">
    <w:name w:val="Текст концевой сноски Знак"/>
    <w:uiPriority w:val="99"/>
    <w:qFormat/>
    <w:rPr>
      <w:sz w:val="20"/>
    </w:rPr>
  </w:style>
  <w:style w:type="character" w:styleId="Style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2" w:customStyle="1">
    <w:name w:val="Верхний колонтитул Знак"/>
    <w:uiPriority w:val="99"/>
    <w:qFormat/>
    <w:rPr>
      <w:rFonts w:eastAsia="Times New Roman"/>
      <w:lang w:eastAsia="ru-RU"/>
    </w:rPr>
  </w:style>
  <w:style w:type="character" w:styleId="Style13" w:customStyle="1">
    <w:name w:val="Нижний колонтитул Знак"/>
    <w:uiPriority w:val="99"/>
    <w:qFormat/>
    <w:rPr>
      <w:rFonts w:eastAsia="Times New Roman"/>
      <w:lang w:eastAsia="ru-RU"/>
    </w:rPr>
  </w:style>
  <w:style w:type="character" w:styleId="Style14" w:customStyle="1">
    <w:name w:val="Текст выноски Знак"/>
    <w:link w:val="BalloonTex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eastAsia="zh-CN" w:val="ru-RU" w:bidi="ar-SA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2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3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aption1">
    <w:name w:val="caption1"/>
    <w:basedOn w:val="Normal"/>
    <w:next w:val="Normal"/>
    <w:uiPriority w:val="35"/>
    <w:semiHidden/>
    <w:unhideWhenUsed/>
    <w:qFormat/>
    <w:pPr/>
    <w:rPr>
      <w:b/>
      <w:bCs/>
      <w:color w:val="4F81BD"/>
      <w:sz w:val="18"/>
      <w:szCs w:val="18"/>
    </w:rPr>
  </w:style>
  <w:style w:type="paragraph" w:styleId="FootnoteText">
    <w:name w:val="Footnote Text"/>
    <w:basedOn w:val="Normal"/>
    <w:link w:val="Style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10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5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eastAsia="zh-CN" w:val="ru-RU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uiPriority w:val="5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/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/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/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/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/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/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Application>LibreOffice/7.6.7.2$Linux_X86_64 LibreOffice_project/60$Build-2</Application>
  <AppVersion>15.0000</AppVersion>
  <Pages>9</Pages>
  <Words>1313</Words>
  <Characters>10642</Characters>
  <CharactersWithSpaces>11358</CharactersWithSpaces>
  <Paragraphs>619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2023-09-26T14:21:00Z</dcterms:created>
  <dc:creator>Урядникова Наталья Владимировна</dc:creator>
  <dc:description/>
  <dc:language>ru-RU</dc:language>
  <cp:lastModifiedBy/>
  <dcterms:modified xsi:type="dcterms:W3CDTF">2025-01-20T11:22:16Z</dcterms:modified>
  <cp:revision>31</cp:revision>
  <dc:subject/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