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47C0" w14:textId="77777777" w:rsidR="00F53890" w:rsidRPr="00DF7A95" w:rsidRDefault="00F53890">
      <w:pPr>
        <w:pStyle w:val="a3"/>
        <w:rPr>
          <w:b/>
          <w:bCs/>
        </w:rPr>
      </w:pPr>
      <w:r>
        <w:rPr>
          <w:b/>
          <w:bCs/>
        </w:rPr>
        <w:t>Инвестиции в основной капитал</w:t>
      </w:r>
    </w:p>
    <w:p w14:paraId="4D694619" w14:textId="77777777" w:rsidR="00F53890" w:rsidRDefault="00F53890">
      <w:pPr>
        <w:tabs>
          <w:tab w:val="left" w:pos="4100"/>
          <w:tab w:val="left" w:pos="5280"/>
          <w:tab w:val="left" w:pos="6240"/>
        </w:tabs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394"/>
      </w:tblGrid>
      <w:tr w:rsidR="00A01F9A" w14:paraId="67AD6046" w14:textId="77777777" w:rsidTr="00BA74F7">
        <w:tc>
          <w:tcPr>
            <w:tcW w:w="4928" w:type="dxa"/>
            <w:vAlign w:val="center"/>
          </w:tcPr>
          <w:p w14:paraId="5AB31382" w14:textId="77777777" w:rsidR="00A01F9A" w:rsidRDefault="00A01F9A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30047AE" w14:textId="77777777" w:rsidR="00434FA3" w:rsidRDefault="00A01F9A" w:rsidP="009211C9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Инвестиции в основной капитал</w:t>
            </w:r>
            <w:r w:rsidR="00B71655">
              <w:rPr>
                <w:sz w:val="28"/>
                <w:szCs w:val="20"/>
              </w:rPr>
              <w:t xml:space="preserve"> за январь-</w:t>
            </w:r>
            <w:r w:rsidR="009211C9">
              <w:rPr>
                <w:sz w:val="28"/>
                <w:szCs w:val="20"/>
              </w:rPr>
              <w:t>сентябрь</w:t>
            </w:r>
            <w:r w:rsidR="00BA74F7">
              <w:rPr>
                <w:sz w:val="28"/>
                <w:szCs w:val="20"/>
              </w:rPr>
              <w:t xml:space="preserve"> 20</w:t>
            </w:r>
            <w:r w:rsidR="005123E8">
              <w:rPr>
                <w:sz w:val="28"/>
                <w:szCs w:val="20"/>
              </w:rPr>
              <w:t>2</w:t>
            </w:r>
            <w:r w:rsidR="005D75A5">
              <w:rPr>
                <w:sz w:val="28"/>
                <w:szCs w:val="20"/>
              </w:rPr>
              <w:t>4</w:t>
            </w:r>
            <w:r w:rsidR="00BA74F7">
              <w:rPr>
                <w:sz w:val="28"/>
                <w:szCs w:val="20"/>
              </w:rPr>
              <w:t xml:space="preserve"> года</w:t>
            </w:r>
            <w:r>
              <w:rPr>
                <w:sz w:val="28"/>
                <w:szCs w:val="20"/>
              </w:rPr>
              <w:t xml:space="preserve">, </w:t>
            </w:r>
          </w:p>
          <w:p w14:paraId="5CCAB5CD" w14:textId="77777777" w:rsidR="00A01F9A" w:rsidRDefault="00A01F9A" w:rsidP="009211C9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млн. руб.</w:t>
            </w:r>
          </w:p>
        </w:tc>
      </w:tr>
      <w:tr w:rsidR="00A01F9A" w14:paraId="6B288F3D" w14:textId="77777777" w:rsidTr="00BA74F7">
        <w:tc>
          <w:tcPr>
            <w:tcW w:w="4928" w:type="dxa"/>
          </w:tcPr>
          <w:p w14:paraId="01533F5D" w14:textId="77777777" w:rsidR="00A01F9A" w:rsidRDefault="00A01F9A">
            <w:pPr>
              <w:tabs>
                <w:tab w:val="left" w:pos="4100"/>
                <w:tab w:val="left" w:pos="5280"/>
                <w:tab w:val="left" w:pos="624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Инвестиции в основной капитал по полному кругу предприятий и организаций</w:t>
            </w:r>
            <w:r>
              <w:rPr>
                <w:sz w:val="28"/>
                <w:szCs w:val="20"/>
                <w:vertAlign w:val="superscript"/>
              </w:rPr>
              <w:t>1</w:t>
            </w:r>
            <w:r w:rsidR="00434FA3">
              <w:rPr>
                <w:sz w:val="28"/>
                <w:szCs w:val="20"/>
                <w:vertAlign w:val="superscript"/>
              </w:rPr>
              <w:t>)</w:t>
            </w:r>
            <w:r>
              <w:rPr>
                <w:sz w:val="28"/>
                <w:szCs w:val="20"/>
              </w:rPr>
              <w:t xml:space="preserve">   </w:t>
            </w:r>
          </w:p>
        </w:tc>
        <w:tc>
          <w:tcPr>
            <w:tcW w:w="4394" w:type="dxa"/>
            <w:vAlign w:val="bottom"/>
          </w:tcPr>
          <w:p w14:paraId="71B295C5" w14:textId="117A2C43" w:rsidR="00A01F9A" w:rsidRPr="00A27FF5" w:rsidRDefault="009211C9" w:rsidP="005D75A5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8"/>
              </w:rPr>
              <w:t>150</w:t>
            </w:r>
            <w:r w:rsidR="00A62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088,2</w:t>
            </w:r>
          </w:p>
        </w:tc>
      </w:tr>
      <w:tr w:rsidR="00A01F9A" w14:paraId="19AC02B5" w14:textId="77777777" w:rsidTr="00BA74F7">
        <w:tc>
          <w:tcPr>
            <w:tcW w:w="4928" w:type="dxa"/>
          </w:tcPr>
          <w:p w14:paraId="0E0C1977" w14:textId="77777777" w:rsidR="00A01F9A" w:rsidRDefault="00A01F9A">
            <w:pPr>
              <w:ind w:left="227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 % к соответствующему периоду  прошлого года </w:t>
            </w:r>
          </w:p>
        </w:tc>
        <w:tc>
          <w:tcPr>
            <w:tcW w:w="4394" w:type="dxa"/>
            <w:vAlign w:val="bottom"/>
          </w:tcPr>
          <w:p w14:paraId="013998EA" w14:textId="77777777" w:rsidR="00A01F9A" w:rsidRPr="00A27FF5" w:rsidRDefault="005D75A5" w:rsidP="009211C9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color w:val="FF0000"/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1</w:t>
            </w:r>
            <w:r w:rsidR="009211C9">
              <w:rPr>
                <w:sz w:val="28"/>
                <w:szCs w:val="20"/>
              </w:rPr>
              <w:t>0</w:t>
            </w:r>
            <w:r>
              <w:rPr>
                <w:sz w:val="28"/>
                <w:szCs w:val="20"/>
              </w:rPr>
              <w:t>1</w:t>
            </w:r>
            <w:r w:rsidR="00E150F5">
              <w:rPr>
                <w:sz w:val="28"/>
                <w:szCs w:val="20"/>
              </w:rPr>
              <w:t>,</w:t>
            </w:r>
            <w:r w:rsidR="009211C9">
              <w:rPr>
                <w:sz w:val="28"/>
                <w:szCs w:val="20"/>
              </w:rPr>
              <w:t>4</w:t>
            </w:r>
          </w:p>
        </w:tc>
      </w:tr>
      <w:tr w:rsidR="00A01F9A" w14:paraId="3175470A" w14:textId="77777777" w:rsidTr="00BA74F7">
        <w:tc>
          <w:tcPr>
            <w:tcW w:w="4928" w:type="dxa"/>
          </w:tcPr>
          <w:p w14:paraId="76F087FC" w14:textId="77777777" w:rsidR="00A01F9A" w:rsidRDefault="00A01F9A" w:rsidP="00F17AC0">
            <w:pPr>
              <w:tabs>
                <w:tab w:val="left" w:pos="4100"/>
                <w:tab w:val="left" w:pos="5280"/>
                <w:tab w:val="left" w:pos="624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Инвестиции в основной капитал по организациям, не относящимся к субъектам малого предпринимательства и объема инвестиций, не наблюдаемых прямыми статистическими методами – всего</w:t>
            </w:r>
          </w:p>
        </w:tc>
        <w:tc>
          <w:tcPr>
            <w:tcW w:w="4394" w:type="dxa"/>
            <w:vAlign w:val="bottom"/>
          </w:tcPr>
          <w:p w14:paraId="049DB6AA" w14:textId="1700C3C9" w:rsidR="00A01F9A" w:rsidRPr="00A27FF5" w:rsidRDefault="009211C9" w:rsidP="00434FA3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8"/>
              </w:rPr>
              <w:t>97</w:t>
            </w:r>
            <w:r w:rsidR="00A62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111,9</w:t>
            </w:r>
            <w:r w:rsidR="00434FA3" w:rsidRPr="00434FA3">
              <w:rPr>
                <w:sz w:val="28"/>
                <w:szCs w:val="28"/>
                <w:vertAlign w:val="superscript"/>
              </w:rPr>
              <w:t>2)</w:t>
            </w:r>
          </w:p>
        </w:tc>
      </w:tr>
      <w:tr w:rsidR="00A01F9A" w14:paraId="0A01087F" w14:textId="77777777" w:rsidTr="00BA74F7">
        <w:tc>
          <w:tcPr>
            <w:tcW w:w="4928" w:type="dxa"/>
            <w:vAlign w:val="bottom"/>
          </w:tcPr>
          <w:p w14:paraId="7B3315B5" w14:textId="77777777" w:rsidR="00A01F9A" w:rsidRDefault="00A01F9A" w:rsidP="0099621D">
            <w:pPr>
              <w:rPr>
                <w:rFonts w:eastAsia="Arial Unicode MS"/>
                <w:sz w:val="28"/>
                <w:szCs w:val="20"/>
              </w:rPr>
            </w:pPr>
            <w:r>
              <w:rPr>
                <w:sz w:val="28"/>
                <w:szCs w:val="20"/>
              </w:rPr>
              <w:t>Из общего объема инвестиций в основной капитал по организациям, не относящимся к субъектам малого предпринимательства и объема инвестиций, не наблюдаемых прямыми статистическими методами, инвестиции в:</w:t>
            </w:r>
          </w:p>
        </w:tc>
        <w:tc>
          <w:tcPr>
            <w:tcW w:w="4394" w:type="dxa"/>
            <w:vAlign w:val="bottom"/>
          </w:tcPr>
          <w:p w14:paraId="71D4C11A" w14:textId="77777777" w:rsidR="00A01F9A" w:rsidRPr="0099621D" w:rsidRDefault="00A01F9A" w:rsidP="00AC069B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</w:rPr>
            </w:pPr>
          </w:p>
        </w:tc>
      </w:tr>
      <w:tr w:rsidR="00A01F9A" w14:paraId="389CD28D" w14:textId="77777777" w:rsidTr="00BA74F7">
        <w:tc>
          <w:tcPr>
            <w:tcW w:w="4928" w:type="dxa"/>
            <w:vAlign w:val="bottom"/>
          </w:tcPr>
          <w:p w14:paraId="64AFA1F6" w14:textId="77777777" w:rsidR="00A01F9A" w:rsidRPr="007F1901" w:rsidRDefault="00A01F9A">
            <w:pPr>
              <w:ind w:left="227"/>
              <w:rPr>
                <w:sz w:val="28"/>
                <w:szCs w:val="20"/>
              </w:rPr>
            </w:pPr>
            <w:r w:rsidRPr="007F1901">
              <w:rPr>
                <w:sz w:val="28"/>
                <w:szCs w:val="20"/>
              </w:rPr>
              <w:t>жилые здания и помещения</w:t>
            </w:r>
          </w:p>
        </w:tc>
        <w:tc>
          <w:tcPr>
            <w:tcW w:w="4394" w:type="dxa"/>
            <w:vAlign w:val="bottom"/>
          </w:tcPr>
          <w:p w14:paraId="40E5528D" w14:textId="1363A766" w:rsidR="00A01F9A" w:rsidRPr="00A27FF5" w:rsidRDefault="009211C9" w:rsidP="00A173A4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A62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015,4</w:t>
            </w:r>
          </w:p>
        </w:tc>
      </w:tr>
      <w:tr w:rsidR="00A01F9A" w14:paraId="6909F97C" w14:textId="77777777" w:rsidTr="00BA74F7">
        <w:tc>
          <w:tcPr>
            <w:tcW w:w="4928" w:type="dxa"/>
            <w:vAlign w:val="bottom"/>
          </w:tcPr>
          <w:p w14:paraId="73463134" w14:textId="77777777" w:rsidR="00A01F9A" w:rsidRPr="007F1901" w:rsidRDefault="00A01F9A">
            <w:pPr>
              <w:ind w:left="227"/>
              <w:rPr>
                <w:sz w:val="28"/>
                <w:szCs w:val="20"/>
              </w:rPr>
            </w:pPr>
            <w:r w:rsidRPr="007F1901">
              <w:rPr>
                <w:sz w:val="28"/>
                <w:szCs w:val="20"/>
              </w:rPr>
              <w:t>здания (кроме жилых) и сооружения, расходы на улучшение земель</w:t>
            </w:r>
          </w:p>
        </w:tc>
        <w:tc>
          <w:tcPr>
            <w:tcW w:w="4394" w:type="dxa"/>
            <w:vAlign w:val="bottom"/>
          </w:tcPr>
          <w:p w14:paraId="66DA8AC1" w14:textId="7119C26D" w:rsidR="00A01F9A" w:rsidRPr="009D000F" w:rsidRDefault="009211C9" w:rsidP="009D000F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8"/>
              </w:rPr>
              <w:t>34</w:t>
            </w:r>
            <w:r w:rsidR="00A62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280,</w:t>
            </w:r>
            <w:r w:rsidR="009D000F">
              <w:rPr>
                <w:sz w:val="28"/>
                <w:szCs w:val="28"/>
                <w:lang w:val="en-US"/>
              </w:rPr>
              <w:t>5</w:t>
            </w:r>
          </w:p>
        </w:tc>
      </w:tr>
      <w:tr w:rsidR="00A01F9A" w14:paraId="4272B2D0" w14:textId="77777777" w:rsidTr="00BA74F7">
        <w:tc>
          <w:tcPr>
            <w:tcW w:w="4928" w:type="dxa"/>
            <w:vAlign w:val="bottom"/>
          </w:tcPr>
          <w:p w14:paraId="3EB4EF0D" w14:textId="77777777" w:rsidR="00A01F9A" w:rsidRPr="007F1901" w:rsidRDefault="0033075E" w:rsidP="00E01E02">
            <w:pPr>
              <w:ind w:left="227"/>
              <w:rPr>
                <w:sz w:val="28"/>
                <w:szCs w:val="20"/>
              </w:rPr>
            </w:pPr>
            <w:r w:rsidRPr="00406C5D">
              <w:rPr>
                <w:sz w:val="28"/>
                <w:szCs w:val="28"/>
              </w:rPr>
              <w:t>машин</w:t>
            </w:r>
            <w:r w:rsidR="00875BDB">
              <w:rPr>
                <w:sz w:val="28"/>
                <w:szCs w:val="28"/>
              </w:rPr>
              <w:t>ы</w:t>
            </w:r>
            <w:r w:rsidRPr="00406C5D">
              <w:rPr>
                <w:sz w:val="28"/>
                <w:szCs w:val="28"/>
              </w:rPr>
              <w:t xml:space="preserve"> и оборудовани</w:t>
            </w:r>
            <w:r w:rsidR="00E01E02">
              <w:rPr>
                <w:sz w:val="28"/>
                <w:szCs w:val="28"/>
              </w:rPr>
              <w:t>е</w:t>
            </w:r>
            <w:r w:rsidRPr="00406C5D">
              <w:rPr>
                <w:sz w:val="28"/>
                <w:szCs w:val="28"/>
              </w:rPr>
              <w:t>, включая хозяйственный инвентарь</w:t>
            </w:r>
            <w:r>
              <w:rPr>
                <w:sz w:val="28"/>
                <w:szCs w:val="28"/>
              </w:rPr>
              <w:t xml:space="preserve"> и другие объекты</w:t>
            </w:r>
          </w:p>
        </w:tc>
        <w:tc>
          <w:tcPr>
            <w:tcW w:w="4394" w:type="dxa"/>
            <w:vAlign w:val="bottom"/>
          </w:tcPr>
          <w:p w14:paraId="3E4399DE" w14:textId="0444CFA7" w:rsidR="00A01F9A" w:rsidRPr="00A27FF5" w:rsidRDefault="009211C9" w:rsidP="005D75A5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color w:val="FF0000"/>
                <w:sz w:val="28"/>
                <w:szCs w:val="20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54</w:t>
            </w:r>
            <w:r w:rsidR="00A62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804,0</w:t>
            </w:r>
          </w:p>
        </w:tc>
      </w:tr>
      <w:tr w:rsidR="00A01F9A" w14:paraId="6CFC9337" w14:textId="77777777" w:rsidTr="00BA74F7">
        <w:tc>
          <w:tcPr>
            <w:tcW w:w="4928" w:type="dxa"/>
            <w:vAlign w:val="bottom"/>
          </w:tcPr>
          <w:p w14:paraId="4542B53F" w14:textId="77777777" w:rsidR="00A01F9A" w:rsidRPr="007F1901" w:rsidRDefault="00A01F9A">
            <w:pPr>
              <w:ind w:left="227"/>
              <w:rPr>
                <w:sz w:val="28"/>
                <w:szCs w:val="20"/>
              </w:rPr>
            </w:pPr>
            <w:r w:rsidRPr="007F1901">
              <w:rPr>
                <w:sz w:val="28"/>
                <w:szCs w:val="20"/>
              </w:rPr>
              <w:t>объекты интеллектуальной собственности</w:t>
            </w:r>
          </w:p>
        </w:tc>
        <w:tc>
          <w:tcPr>
            <w:tcW w:w="4394" w:type="dxa"/>
            <w:vAlign w:val="bottom"/>
          </w:tcPr>
          <w:p w14:paraId="2B300A01" w14:textId="5EDEFD7A" w:rsidR="00A01F9A" w:rsidRPr="009D000F" w:rsidRDefault="009211C9" w:rsidP="009D000F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62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483,</w:t>
            </w:r>
            <w:r w:rsidR="009D000F">
              <w:rPr>
                <w:sz w:val="28"/>
                <w:szCs w:val="28"/>
                <w:lang w:val="en-US"/>
              </w:rPr>
              <w:t>9</w:t>
            </w:r>
          </w:p>
        </w:tc>
      </w:tr>
      <w:tr w:rsidR="00A01F9A" w14:paraId="63181DCD" w14:textId="77777777" w:rsidTr="00BA74F7">
        <w:tc>
          <w:tcPr>
            <w:tcW w:w="4928" w:type="dxa"/>
            <w:vAlign w:val="bottom"/>
          </w:tcPr>
          <w:p w14:paraId="30A8906E" w14:textId="77777777" w:rsidR="00A01F9A" w:rsidRPr="007F1901" w:rsidRDefault="00A01F9A">
            <w:pPr>
              <w:ind w:left="227"/>
              <w:rPr>
                <w:sz w:val="28"/>
                <w:szCs w:val="20"/>
              </w:rPr>
            </w:pPr>
            <w:r w:rsidRPr="007F1901">
              <w:rPr>
                <w:sz w:val="28"/>
                <w:szCs w:val="20"/>
              </w:rPr>
              <w:t>прочие инвестиции</w:t>
            </w:r>
          </w:p>
        </w:tc>
        <w:tc>
          <w:tcPr>
            <w:tcW w:w="4394" w:type="dxa"/>
            <w:vAlign w:val="bottom"/>
          </w:tcPr>
          <w:p w14:paraId="4DB991B8" w14:textId="2BAF19EC" w:rsidR="00A01F9A" w:rsidRPr="00A27FF5" w:rsidRDefault="009211C9" w:rsidP="005D75A5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A62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528,3</w:t>
            </w:r>
          </w:p>
        </w:tc>
      </w:tr>
    </w:tbl>
    <w:p w14:paraId="2F3C3922" w14:textId="77777777" w:rsidR="00F53890" w:rsidRDefault="00F53890">
      <w:pPr>
        <w:tabs>
          <w:tab w:val="left" w:pos="4100"/>
          <w:tab w:val="left" w:pos="5280"/>
          <w:tab w:val="left" w:pos="6240"/>
        </w:tabs>
        <w:jc w:val="center"/>
        <w:rPr>
          <w:sz w:val="28"/>
          <w:szCs w:val="20"/>
        </w:rPr>
      </w:pPr>
    </w:p>
    <w:p w14:paraId="3468AA44" w14:textId="77777777" w:rsidR="00F53890" w:rsidRPr="00F17AC0" w:rsidRDefault="00F53890" w:rsidP="00847571">
      <w:pPr>
        <w:tabs>
          <w:tab w:val="left" w:pos="4100"/>
          <w:tab w:val="left" w:pos="5280"/>
          <w:tab w:val="left" w:pos="6240"/>
        </w:tabs>
        <w:jc w:val="both"/>
        <w:rPr>
          <w:i/>
          <w:iCs/>
          <w:sz w:val="27"/>
          <w:szCs w:val="27"/>
        </w:rPr>
      </w:pPr>
      <w:r w:rsidRPr="00847571">
        <w:rPr>
          <w:i/>
          <w:iCs/>
          <w:sz w:val="27"/>
          <w:szCs w:val="27"/>
          <w:vertAlign w:val="superscript"/>
        </w:rPr>
        <w:t>1)</w:t>
      </w:r>
      <w:r w:rsidRPr="00847571">
        <w:rPr>
          <w:i/>
          <w:iCs/>
          <w:sz w:val="27"/>
          <w:szCs w:val="27"/>
        </w:rPr>
        <w:t xml:space="preserve"> </w:t>
      </w:r>
      <w:r w:rsidR="00847571" w:rsidRPr="00847571">
        <w:rPr>
          <w:i/>
          <w:sz w:val="27"/>
          <w:szCs w:val="27"/>
        </w:rPr>
        <w:t>Объем инвестиций в основной капитал по полному кругу хозяйствующих субъектов определен в соответствии с «Официальной статистической методологией определения инвестиций в основной капитал на региональном уровне», утвержденной приказом Росстата от 18.09.2014 г. № 569</w:t>
      </w:r>
      <w:r w:rsidR="00F17AC0">
        <w:rPr>
          <w:i/>
          <w:sz w:val="27"/>
          <w:szCs w:val="27"/>
        </w:rPr>
        <w:t>.</w:t>
      </w:r>
    </w:p>
    <w:p w14:paraId="2E58AF2C" w14:textId="77777777" w:rsidR="00F53890" w:rsidRDefault="00F53890">
      <w:pPr>
        <w:tabs>
          <w:tab w:val="left" w:pos="4100"/>
          <w:tab w:val="left" w:pos="5280"/>
          <w:tab w:val="left" w:pos="6240"/>
        </w:tabs>
        <w:jc w:val="center"/>
        <w:rPr>
          <w:sz w:val="28"/>
          <w:szCs w:val="20"/>
        </w:rPr>
      </w:pPr>
    </w:p>
    <w:p w14:paraId="1B44F4DE" w14:textId="77777777" w:rsidR="00F53890" w:rsidRPr="00434FA3" w:rsidRDefault="00434FA3">
      <w:pPr>
        <w:rPr>
          <w:i/>
          <w:sz w:val="27"/>
          <w:szCs w:val="27"/>
        </w:rPr>
      </w:pPr>
      <w:r w:rsidRPr="00434FA3">
        <w:rPr>
          <w:i/>
          <w:sz w:val="27"/>
          <w:szCs w:val="27"/>
          <w:vertAlign w:val="superscript"/>
        </w:rPr>
        <w:t xml:space="preserve">2) </w:t>
      </w:r>
      <w:r w:rsidRPr="00434FA3">
        <w:rPr>
          <w:i/>
          <w:sz w:val="27"/>
          <w:szCs w:val="27"/>
        </w:rPr>
        <w:t>Незначительные расхождения между итогом и суммой слагаемых объясняются округлением данных.</w:t>
      </w:r>
    </w:p>
    <w:sectPr w:rsidR="00F53890" w:rsidRPr="00434FA3" w:rsidSect="0084757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71007" w14:textId="77777777" w:rsidR="003803B8" w:rsidRDefault="003803B8" w:rsidP="009D000F">
      <w:r>
        <w:separator/>
      </w:r>
    </w:p>
  </w:endnote>
  <w:endnote w:type="continuationSeparator" w:id="0">
    <w:p w14:paraId="33DB0C14" w14:textId="77777777" w:rsidR="003803B8" w:rsidRDefault="003803B8" w:rsidP="009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C02D5" w14:textId="77777777" w:rsidR="003803B8" w:rsidRDefault="003803B8" w:rsidP="009D000F">
      <w:r>
        <w:separator/>
      </w:r>
    </w:p>
  </w:footnote>
  <w:footnote w:type="continuationSeparator" w:id="0">
    <w:p w14:paraId="70AAF25C" w14:textId="77777777" w:rsidR="003803B8" w:rsidRDefault="003803B8" w:rsidP="009D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790"/>
    <w:rsid w:val="00021EFE"/>
    <w:rsid w:val="000C29A2"/>
    <w:rsid w:val="000E44D5"/>
    <w:rsid w:val="000F3D39"/>
    <w:rsid w:val="0010128F"/>
    <w:rsid w:val="0010358A"/>
    <w:rsid w:val="00104F2B"/>
    <w:rsid w:val="00141FCF"/>
    <w:rsid w:val="00150D30"/>
    <w:rsid w:val="00152C85"/>
    <w:rsid w:val="001635A9"/>
    <w:rsid w:val="00176A3B"/>
    <w:rsid w:val="00182D89"/>
    <w:rsid w:val="0019424F"/>
    <w:rsid w:val="00207FD5"/>
    <w:rsid w:val="00210E65"/>
    <w:rsid w:val="0023209F"/>
    <w:rsid w:val="0028781D"/>
    <w:rsid w:val="002C0F6A"/>
    <w:rsid w:val="002F165F"/>
    <w:rsid w:val="003028E4"/>
    <w:rsid w:val="00316C64"/>
    <w:rsid w:val="0033075E"/>
    <w:rsid w:val="00360B41"/>
    <w:rsid w:val="003803B8"/>
    <w:rsid w:val="003823D5"/>
    <w:rsid w:val="00392CE5"/>
    <w:rsid w:val="0039734C"/>
    <w:rsid w:val="003D122C"/>
    <w:rsid w:val="003E020B"/>
    <w:rsid w:val="003E4F0A"/>
    <w:rsid w:val="0040270D"/>
    <w:rsid w:val="00411962"/>
    <w:rsid w:val="00434FA3"/>
    <w:rsid w:val="00480326"/>
    <w:rsid w:val="00480C88"/>
    <w:rsid w:val="004D4862"/>
    <w:rsid w:val="004D49A6"/>
    <w:rsid w:val="005123E8"/>
    <w:rsid w:val="00522E0B"/>
    <w:rsid w:val="00555FDC"/>
    <w:rsid w:val="00560B63"/>
    <w:rsid w:val="00563F99"/>
    <w:rsid w:val="005855EC"/>
    <w:rsid w:val="005D75A5"/>
    <w:rsid w:val="005F65B5"/>
    <w:rsid w:val="006247CC"/>
    <w:rsid w:val="00666F2B"/>
    <w:rsid w:val="00674AD3"/>
    <w:rsid w:val="006B6E05"/>
    <w:rsid w:val="006F6325"/>
    <w:rsid w:val="00753A0D"/>
    <w:rsid w:val="00760482"/>
    <w:rsid w:val="007B68F3"/>
    <w:rsid w:val="007F1901"/>
    <w:rsid w:val="007F79FA"/>
    <w:rsid w:val="008045A3"/>
    <w:rsid w:val="00811790"/>
    <w:rsid w:val="00821771"/>
    <w:rsid w:val="00847571"/>
    <w:rsid w:val="008537BA"/>
    <w:rsid w:val="00865132"/>
    <w:rsid w:val="00875BDB"/>
    <w:rsid w:val="00875C4A"/>
    <w:rsid w:val="00882608"/>
    <w:rsid w:val="00885E57"/>
    <w:rsid w:val="009211C9"/>
    <w:rsid w:val="00991217"/>
    <w:rsid w:val="0099621D"/>
    <w:rsid w:val="009C74CA"/>
    <w:rsid w:val="009D000F"/>
    <w:rsid w:val="009E34B6"/>
    <w:rsid w:val="00A01F9A"/>
    <w:rsid w:val="00A07DA2"/>
    <w:rsid w:val="00A168D3"/>
    <w:rsid w:val="00A173A4"/>
    <w:rsid w:val="00A20118"/>
    <w:rsid w:val="00A27FF5"/>
    <w:rsid w:val="00A62CAF"/>
    <w:rsid w:val="00A6390D"/>
    <w:rsid w:val="00A81454"/>
    <w:rsid w:val="00A959F3"/>
    <w:rsid w:val="00AC069B"/>
    <w:rsid w:val="00AD6470"/>
    <w:rsid w:val="00AF3AD8"/>
    <w:rsid w:val="00B408CF"/>
    <w:rsid w:val="00B438D8"/>
    <w:rsid w:val="00B53B3E"/>
    <w:rsid w:val="00B66BEB"/>
    <w:rsid w:val="00B71655"/>
    <w:rsid w:val="00B85F8C"/>
    <w:rsid w:val="00BA74F7"/>
    <w:rsid w:val="00BC0A0D"/>
    <w:rsid w:val="00BC7D05"/>
    <w:rsid w:val="00BD1DC0"/>
    <w:rsid w:val="00C2705E"/>
    <w:rsid w:val="00C303CF"/>
    <w:rsid w:val="00C74E5C"/>
    <w:rsid w:val="00CB6D87"/>
    <w:rsid w:val="00CC5D75"/>
    <w:rsid w:val="00CE0EA4"/>
    <w:rsid w:val="00D05E0F"/>
    <w:rsid w:val="00D152E1"/>
    <w:rsid w:val="00D47866"/>
    <w:rsid w:val="00DD6B21"/>
    <w:rsid w:val="00DE3569"/>
    <w:rsid w:val="00DF7A95"/>
    <w:rsid w:val="00E01E02"/>
    <w:rsid w:val="00E150F5"/>
    <w:rsid w:val="00E3221D"/>
    <w:rsid w:val="00EC0027"/>
    <w:rsid w:val="00EE6A5A"/>
    <w:rsid w:val="00F14935"/>
    <w:rsid w:val="00F17AC0"/>
    <w:rsid w:val="00F2073A"/>
    <w:rsid w:val="00F42C5B"/>
    <w:rsid w:val="00F535AC"/>
    <w:rsid w:val="00F53890"/>
    <w:rsid w:val="00F83ADC"/>
    <w:rsid w:val="00F85441"/>
    <w:rsid w:val="00F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7DC5DD"/>
  <w15:docId w15:val="{A2A253E3-E9D4-46D2-A1F4-37BF29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9A6"/>
    <w:pPr>
      <w:tabs>
        <w:tab w:val="left" w:pos="4100"/>
        <w:tab w:val="left" w:pos="5280"/>
        <w:tab w:val="left" w:pos="6240"/>
      </w:tabs>
      <w:jc w:val="center"/>
    </w:pPr>
    <w:rPr>
      <w:sz w:val="28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9D00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000F"/>
  </w:style>
  <w:style w:type="character" w:styleId="a6">
    <w:name w:val="footnote reference"/>
    <w:basedOn w:val="a0"/>
    <w:uiPriority w:val="99"/>
    <w:semiHidden/>
    <w:unhideWhenUsed/>
    <w:rsid w:val="009D0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D7FF-EC6C-4F66-BAF3-A14B1F4F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Инвестиции в основной капитал</vt:lpstr>
    </vt:vector>
  </TitlesOfParts>
  <Company>bs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Инвестиции в основной капитал</dc:title>
  <dc:subject/>
  <dc:creator>517</dc:creator>
  <cp:keywords/>
  <dc:description/>
  <cp:lastModifiedBy>Кубатина Светлана Анатольевна</cp:lastModifiedBy>
  <cp:revision>18</cp:revision>
  <cp:lastPrinted>2024-11-26T12:21:00Z</cp:lastPrinted>
  <dcterms:created xsi:type="dcterms:W3CDTF">2021-03-05T08:14:00Z</dcterms:created>
  <dcterms:modified xsi:type="dcterms:W3CDTF">2024-12-03T08:42:00Z</dcterms:modified>
</cp:coreProperties>
</file>