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2" w:rsidRPr="00947A49" w:rsidRDefault="00F81B22" w:rsidP="00F81B22">
      <w:pPr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 w:rsidRPr="007635EE">
        <w:rPr>
          <w:rFonts w:cs="Arial"/>
          <w:b/>
          <w:i/>
          <w:color w:val="000000" w:themeColor="text1"/>
          <w:sz w:val="24"/>
          <w:szCs w:val="24"/>
        </w:rPr>
        <w:t>Объем работ, выполненных собственными силами по виду деятельности "Строительство</w:t>
      </w:r>
      <w:r w:rsidRPr="001806B7">
        <w:rPr>
          <w:rFonts w:cs="Arial"/>
          <w:i/>
          <w:color w:val="000000" w:themeColor="text1"/>
          <w:sz w:val="24"/>
          <w:szCs w:val="24"/>
        </w:rPr>
        <w:t>"</w:t>
      </w:r>
      <w:r w:rsidRPr="007635EE">
        <w:rPr>
          <w:rFonts w:cs="Arial"/>
          <w:b/>
          <w:i/>
          <w:color w:val="000000" w:themeColor="text1"/>
          <w:sz w:val="24"/>
          <w:szCs w:val="24"/>
        </w:rPr>
        <w:t xml:space="preserve"> 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отраж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а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ет стоимость работ и услуг строительного характера, выполненных организациями собственны</w:t>
      </w:r>
      <w:r>
        <w:rPr>
          <w:rFonts w:eastAsia="Arial Unicode MS" w:cs="Arial"/>
          <w:color w:val="000000" w:themeColor="text1"/>
          <w:sz w:val="24"/>
          <w:szCs w:val="24"/>
        </w:rPr>
        <w:t>ми силами по виду деятельности "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Строитель</w:t>
      </w:r>
      <w:r>
        <w:rPr>
          <w:rFonts w:eastAsia="Arial Unicode MS" w:cs="Arial"/>
          <w:color w:val="000000" w:themeColor="text1"/>
          <w:sz w:val="24"/>
          <w:szCs w:val="24"/>
        </w:rPr>
        <w:t>ство"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 xml:space="preserve"> на основании г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е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 xml:space="preserve">неральных, прямых и субподрядных договоров и (или) контрактов, заключаемых с заказчиками и работ, </w:t>
      </w:r>
      <w:r w:rsidRPr="00947A49">
        <w:rPr>
          <w:rFonts w:cs="Arial"/>
          <w:bCs/>
          <w:iCs/>
          <w:color w:val="000000" w:themeColor="text1"/>
          <w:sz w:val="24"/>
          <w:szCs w:val="24"/>
        </w:rPr>
        <w:t>в</w:t>
      </w:r>
      <w:r w:rsidRPr="00947A49">
        <w:rPr>
          <w:rFonts w:cs="Arial"/>
          <w:bCs/>
          <w:iCs/>
          <w:color w:val="000000" w:themeColor="text1"/>
          <w:sz w:val="24"/>
          <w:szCs w:val="24"/>
        </w:rPr>
        <w:t>ы</w:t>
      </w:r>
      <w:r w:rsidRPr="00947A49">
        <w:rPr>
          <w:rFonts w:cs="Arial"/>
          <w:bCs/>
          <w:iCs/>
          <w:color w:val="000000" w:themeColor="text1"/>
          <w:sz w:val="24"/>
          <w:szCs w:val="24"/>
        </w:rPr>
        <w:t>полненных хозяйственным способом организациями и населением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. В стоимость этих работ включаются строительно-монтажные и прочие строительные раб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о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ты, выполненные</w:t>
      </w:r>
      <w:r w:rsidRPr="00947A49">
        <w:rPr>
          <w:rFonts w:cs="Arial"/>
          <w:color w:val="000000" w:themeColor="text1"/>
          <w:sz w:val="24"/>
          <w:szCs w:val="24"/>
        </w:rPr>
        <w:t xml:space="preserve"> </w:t>
      </w:r>
      <w:r w:rsidRPr="00947A49">
        <w:rPr>
          <w:rFonts w:eastAsia="Arial Unicode MS" w:cs="Arial"/>
          <w:color w:val="000000" w:themeColor="text1"/>
          <w:sz w:val="24"/>
          <w:szCs w:val="24"/>
        </w:rPr>
        <w:t>собственными силами за счет всех источников финансирования</w:t>
      </w:r>
      <w:r w:rsidRPr="00947A49">
        <w:rPr>
          <w:rFonts w:cs="Arial"/>
          <w:color w:val="000000" w:themeColor="text1"/>
          <w:sz w:val="24"/>
          <w:szCs w:val="24"/>
        </w:rPr>
        <w:t>.</w:t>
      </w:r>
    </w:p>
    <w:p w:rsidR="00F81B22" w:rsidRPr="00947A49" w:rsidRDefault="00F81B22" w:rsidP="00F81B22">
      <w:pPr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i/>
          <w:color w:val="000000" w:themeColor="text1"/>
          <w:sz w:val="24"/>
          <w:szCs w:val="24"/>
        </w:rPr>
        <w:t>З</w:t>
      </w:r>
      <w:r w:rsidRPr="00947A49">
        <w:rPr>
          <w:rFonts w:cs="Arial"/>
          <w:b/>
          <w:i/>
          <w:color w:val="000000" w:themeColor="text1"/>
          <w:sz w:val="24"/>
          <w:szCs w:val="24"/>
        </w:rPr>
        <w:t>дания</w:t>
      </w:r>
      <w:r w:rsidRPr="00947A49">
        <w:rPr>
          <w:rFonts w:cs="Arial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-</w:t>
      </w:r>
      <w:r w:rsidRPr="00947A49">
        <w:rPr>
          <w:rFonts w:cs="Arial"/>
          <w:color w:val="000000" w:themeColor="text1"/>
          <w:sz w:val="24"/>
          <w:szCs w:val="24"/>
        </w:rPr>
        <w:t xml:space="preserve"> строительная сист</w:t>
      </w:r>
      <w:r w:rsidRPr="00947A49">
        <w:rPr>
          <w:rFonts w:cs="Arial"/>
          <w:color w:val="000000" w:themeColor="text1"/>
          <w:sz w:val="24"/>
          <w:szCs w:val="24"/>
        </w:rPr>
        <w:t>е</w:t>
      </w:r>
      <w:r w:rsidRPr="00947A49">
        <w:rPr>
          <w:rFonts w:cs="Arial"/>
          <w:color w:val="000000" w:themeColor="text1"/>
          <w:sz w:val="24"/>
          <w:szCs w:val="24"/>
        </w:rPr>
        <w:t>ма, состоящая из несущих и ограждающих или совмещенных (несущих и ограждающих) конструкций, которые образуют надземный замкнутый объем, предн</w:t>
      </w:r>
      <w:r w:rsidRPr="00947A49">
        <w:rPr>
          <w:rFonts w:cs="Arial"/>
          <w:color w:val="000000" w:themeColor="text1"/>
          <w:sz w:val="24"/>
          <w:szCs w:val="24"/>
        </w:rPr>
        <w:t>а</w:t>
      </w:r>
      <w:r w:rsidRPr="00947A49">
        <w:rPr>
          <w:rFonts w:cs="Arial"/>
          <w:color w:val="000000" w:themeColor="text1"/>
          <w:sz w:val="24"/>
          <w:szCs w:val="24"/>
        </w:rPr>
        <w:t>значенный для проживания или пребывания людей в зависимости от функционального назначения и для выполнения различного вида производственных пр</w:t>
      </w:r>
      <w:r w:rsidRPr="00947A49">
        <w:rPr>
          <w:rFonts w:cs="Arial"/>
          <w:color w:val="000000" w:themeColor="text1"/>
          <w:sz w:val="24"/>
          <w:szCs w:val="24"/>
        </w:rPr>
        <w:t>о</w:t>
      </w:r>
      <w:r w:rsidRPr="00947A49">
        <w:rPr>
          <w:rFonts w:cs="Arial"/>
          <w:color w:val="000000" w:themeColor="text1"/>
          <w:sz w:val="24"/>
          <w:szCs w:val="24"/>
        </w:rPr>
        <w:t>цессов.</w:t>
      </w:r>
    </w:p>
    <w:p w:rsidR="00F81B22" w:rsidRPr="00947A49" w:rsidRDefault="00F81B22" w:rsidP="00F81B22">
      <w:pPr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 w:rsidRPr="00947A49">
        <w:rPr>
          <w:rFonts w:cs="Arial"/>
          <w:b/>
          <w:i/>
          <w:color w:val="000000" w:themeColor="text1"/>
          <w:sz w:val="24"/>
          <w:szCs w:val="24"/>
        </w:rPr>
        <w:t>Общий строительный объем зданий</w:t>
      </w:r>
      <w:r w:rsidRPr="00947A49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947A49">
        <w:rPr>
          <w:rFonts w:cs="Arial"/>
          <w:color w:val="000000" w:themeColor="text1"/>
          <w:sz w:val="24"/>
          <w:szCs w:val="24"/>
        </w:rPr>
        <w:t>определяется как сумма строительного объема выше отметки плюс минус 0,00 (надземная часть) и ниже этой отметки (подземная часть). Строительный объем надземной и по</w:t>
      </w:r>
      <w:r w:rsidRPr="00947A49">
        <w:rPr>
          <w:rFonts w:cs="Arial"/>
          <w:color w:val="000000" w:themeColor="text1"/>
          <w:sz w:val="24"/>
          <w:szCs w:val="24"/>
        </w:rPr>
        <w:t>д</w:t>
      </w:r>
      <w:r w:rsidRPr="00947A49">
        <w:rPr>
          <w:rFonts w:cs="Arial"/>
          <w:color w:val="000000" w:themeColor="text1"/>
          <w:sz w:val="24"/>
          <w:szCs w:val="24"/>
        </w:rPr>
        <w:t>земной частей здания определяется в пределах огр</w:t>
      </w:r>
      <w:r w:rsidRPr="00947A49">
        <w:rPr>
          <w:rFonts w:cs="Arial"/>
          <w:color w:val="000000" w:themeColor="text1"/>
          <w:sz w:val="24"/>
          <w:szCs w:val="24"/>
        </w:rPr>
        <w:t>а</w:t>
      </w:r>
      <w:r w:rsidRPr="00947A49">
        <w:rPr>
          <w:rFonts w:cs="Arial"/>
          <w:color w:val="000000" w:themeColor="text1"/>
          <w:sz w:val="24"/>
          <w:szCs w:val="24"/>
        </w:rPr>
        <w:t>ничивающих поверхностей, проветриваемых подполий под зданиями, проектируемыми для строительства на вечномерзлых грунтах.</w:t>
      </w:r>
    </w:p>
    <w:p w:rsidR="00F81B22" w:rsidRPr="00947A49" w:rsidRDefault="00F81B22" w:rsidP="00F81B22">
      <w:pPr>
        <w:widowControl/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 w:rsidRPr="00947A49">
        <w:rPr>
          <w:rFonts w:cs="Arial"/>
          <w:b/>
          <w:i/>
          <w:color w:val="000000" w:themeColor="text1"/>
          <w:sz w:val="24"/>
          <w:szCs w:val="24"/>
        </w:rPr>
        <w:t>Общая площадь здания</w:t>
      </w:r>
      <w:r w:rsidRPr="00947A49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947A49">
        <w:rPr>
          <w:rFonts w:cs="Arial"/>
          <w:color w:val="000000" w:themeColor="text1"/>
          <w:sz w:val="24"/>
          <w:szCs w:val="24"/>
        </w:rPr>
        <w:t>определяется как сумма площадей всех этажей здания (включая технические, мансардные, цокольные и подвальные), измеренных в пределах внутренних повер</w:t>
      </w:r>
      <w:r w:rsidRPr="00947A49">
        <w:rPr>
          <w:rFonts w:cs="Arial"/>
          <w:color w:val="000000" w:themeColor="text1"/>
          <w:sz w:val="24"/>
          <w:szCs w:val="24"/>
        </w:rPr>
        <w:t>х</w:t>
      </w:r>
      <w:r w:rsidRPr="00947A49">
        <w:rPr>
          <w:rFonts w:cs="Arial"/>
          <w:color w:val="000000" w:themeColor="text1"/>
          <w:sz w:val="24"/>
          <w:szCs w:val="24"/>
        </w:rPr>
        <w:t>ностей наружных стен, а также площадей балконов и лоджий. Площади помещений определяются по их размерам, измеряемым между отделанными повер</w:t>
      </w:r>
      <w:r w:rsidRPr="00947A49">
        <w:rPr>
          <w:rFonts w:cs="Arial"/>
          <w:color w:val="000000" w:themeColor="text1"/>
          <w:sz w:val="24"/>
          <w:szCs w:val="24"/>
        </w:rPr>
        <w:t>х</w:t>
      </w:r>
      <w:r w:rsidRPr="00947A49">
        <w:rPr>
          <w:rFonts w:cs="Arial"/>
          <w:color w:val="000000" w:themeColor="text1"/>
          <w:sz w:val="24"/>
          <w:szCs w:val="24"/>
        </w:rPr>
        <w:t>ностями стен и перегородок в уровне пола.</w:t>
      </w:r>
    </w:p>
    <w:p w:rsidR="00F81B22" w:rsidRPr="00947A49" w:rsidRDefault="00F81B22" w:rsidP="00F81B22">
      <w:pPr>
        <w:spacing w:line="235" w:lineRule="auto"/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 w:rsidRPr="00947A49">
        <w:rPr>
          <w:rFonts w:cs="Arial"/>
          <w:b/>
          <w:bCs/>
          <w:i/>
          <w:color w:val="000000" w:themeColor="text1"/>
          <w:sz w:val="24"/>
          <w:szCs w:val="24"/>
        </w:rPr>
        <w:t>Число построенных квартир</w:t>
      </w:r>
      <w:r w:rsidRPr="00947A49">
        <w:rPr>
          <w:rFonts w:cs="Arial"/>
          <w:color w:val="000000" w:themeColor="text1"/>
          <w:sz w:val="24"/>
          <w:szCs w:val="24"/>
        </w:rPr>
        <w:t xml:space="preserve"> включает число квартир в законченных строительст</w:t>
      </w:r>
      <w:bookmarkStart w:id="0" w:name="_GoBack"/>
      <w:bookmarkEnd w:id="0"/>
      <w:r w:rsidRPr="00947A49">
        <w:rPr>
          <w:rFonts w:cs="Arial"/>
          <w:color w:val="000000" w:themeColor="text1"/>
          <w:sz w:val="24"/>
          <w:szCs w:val="24"/>
        </w:rPr>
        <w:t>вом жилых домах квартирного, гостини</w:t>
      </w:r>
      <w:r w:rsidRPr="00947A49">
        <w:rPr>
          <w:rFonts w:cs="Arial"/>
          <w:color w:val="000000" w:themeColor="text1"/>
          <w:sz w:val="24"/>
          <w:szCs w:val="24"/>
        </w:rPr>
        <w:t>ч</w:t>
      </w:r>
      <w:r w:rsidRPr="00947A49">
        <w:rPr>
          <w:rFonts w:cs="Arial"/>
          <w:color w:val="000000" w:themeColor="text1"/>
          <w:sz w:val="24"/>
          <w:szCs w:val="24"/>
        </w:rPr>
        <w:t>ного типа и общежитиях, квартиры в нежилых зданиях, а также в индивидуальных жилых домах.</w:t>
      </w:r>
    </w:p>
    <w:p w:rsidR="00F81B22" w:rsidRPr="00947A49" w:rsidRDefault="00F81B22" w:rsidP="00F81B22">
      <w:pPr>
        <w:spacing w:line="235" w:lineRule="auto"/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proofErr w:type="gramStart"/>
      <w:r w:rsidRPr="00947A49">
        <w:rPr>
          <w:rFonts w:cs="Arial"/>
          <w:b/>
          <w:i/>
          <w:color w:val="000000" w:themeColor="text1"/>
          <w:sz w:val="24"/>
          <w:szCs w:val="24"/>
        </w:rPr>
        <w:t>Общая площадь</w:t>
      </w:r>
      <w:r w:rsidRPr="00947A49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947A49">
        <w:rPr>
          <w:rFonts w:cs="Arial"/>
          <w:b/>
          <w:i/>
          <w:color w:val="000000" w:themeColor="text1"/>
          <w:sz w:val="24"/>
          <w:szCs w:val="24"/>
        </w:rPr>
        <w:t>жилых помещений</w:t>
      </w:r>
      <w:r w:rsidRPr="00947A49">
        <w:rPr>
          <w:rFonts w:cs="Arial"/>
          <w:color w:val="000000" w:themeColor="text1"/>
          <w:sz w:val="24"/>
          <w:szCs w:val="24"/>
        </w:rPr>
        <w:t xml:space="preserve"> </w:t>
      </w:r>
      <w:r w:rsidRPr="00B619FE">
        <w:rPr>
          <w:rFonts w:cs="Arial"/>
          <w:b/>
          <w:i/>
          <w:color w:val="000000" w:themeColor="text1"/>
          <w:sz w:val="24"/>
          <w:szCs w:val="24"/>
        </w:rPr>
        <w:t>во введенных в эксплуатацию жилых и нежилых зданиях,</w:t>
      </w:r>
      <w:r w:rsidRPr="00B619FE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B619FE">
        <w:rPr>
          <w:rFonts w:cs="Arial"/>
          <w:b/>
          <w:i/>
          <w:color w:val="000000" w:themeColor="text1"/>
          <w:sz w:val="24"/>
          <w:szCs w:val="24"/>
        </w:rPr>
        <w:t>жилых домах</w:t>
      </w:r>
      <w:r w:rsidRPr="00947A49">
        <w:rPr>
          <w:rFonts w:cs="Arial"/>
          <w:color w:val="000000" w:themeColor="text1"/>
          <w:sz w:val="24"/>
          <w:szCs w:val="24"/>
        </w:rPr>
        <w:t xml:space="preserve"> определяется как сумма пл</w:t>
      </w:r>
      <w:r w:rsidRPr="00947A49">
        <w:rPr>
          <w:rFonts w:cs="Arial"/>
          <w:color w:val="000000" w:themeColor="text1"/>
          <w:sz w:val="24"/>
          <w:szCs w:val="24"/>
        </w:rPr>
        <w:t>о</w:t>
      </w:r>
      <w:r w:rsidRPr="00947A49">
        <w:rPr>
          <w:rFonts w:cs="Arial"/>
          <w:color w:val="000000" w:themeColor="text1"/>
          <w:sz w:val="24"/>
          <w:szCs w:val="24"/>
        </w:rPr>
        <w:t>щадей всех частей жилых помещений, включая пл</w:t>
      </w:r>
      <w:r w:rsidRPr="00947A49">
        <w:rPr>
          <w:rFonts w:cs="Arial"/>
          <w:color w:val="000000" w:themeColor="text1"/>
          <w:sz w:val="24"/>
          <w:szCs w:val="24"/>
        </w:rPr>
        <w:t>о</w:t>
      </w:r>
      <w:r w:rsidRPr="00947A49">
        <w:rPr>
          <w:rFonts w:cs="Arial"/>
          <w:color w:val="000000" w:themeColor="text1"/>
          <w:sz w:val="24"/>
          <w:szCs w:val="24"/>
        </w:rPr>
        <w:t>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</w:t>
      </w:r>
      <w:r w:rsidRPr="00947A49">
        <w:rPr>
          <w:rFonts w:cs="Arial"/>
          <w:color w:val="000000" w:themeColor="text1"/>
          <w:sz w:val="24"/>
          <w:szCs w:val="24"/>
        </w:rPr>
        <w:t>е</w:t>
      </w:r>
      <w:r w:rsidRPr="00947A49">
        <w:rPr>
          <w:rFonts w:cs="Arial"/>
          <w:color w:val="000000" w:themeColor="text1"/>
          <w:sz w:val="24"/>
          <w:szCs w:val="24"/>
        </w:rPr>
        <w:t>ранд, террас, подсчитываемых с соответствующими понижающими коэффициентами, а также жилых и по</w:t>
      </w:r>
      <w:r w:rsidRPr="00947A49">
        <w:rPr>
          <w:rFonts w:cs="Arial"/>
          <w:color w:val="000000" w:themeColor="text1"/>
          <w:sz w:val="24"/>
          <w:szCs w:val="24"/>
        </w:rPr>
        <w:t>д</w:t>
      </w:r>
      <w:r w:rsidRPr="00947A49">
        <w:rPr>
          <w:rFonts w:cs="Arial"/>
          <w:color w:val="000000" w:themeColor="text1"/>
          <w:sz w:val="24"/>
          <w:szCs w:val="24"/>
        </w:rPr>
        <w:t>собных помещений в построенных</w:t>
      </w:r>
      <w:proofErr w:type="gramEnd"/>
      <w:r w:rsidRPr="00947A49">
        <w:rPr>
          <w:rFonts w:cs="Arial"/>
          <w:color w:val="000000" w:themeColor="text1"/>
          <w:sz w:val="24"/>
          <w:szCs w:val="24"/>
        </w:rPr>
        <w:t xml:space="preserve"> населением индивидуальных жилых </w:t>
      </w:r>
      <w:proofErr w:type="gramStart"/>
      <w:r w:rsidRPr="00947A49">
        <w:rPr>
          <w:rFonts w:cs="Arial"/>
          <w:color w:val="000000" w:themeColor="text1"/>
          <w:sz w:val="24"/>
          <w:szCs w:val="24"/>
        </w:rPr>
        <w:t>домах</w:t>
      </w:r>
      <w:proofErr w:type="gramEnd"/>
      <w:r w:rsidRPr="00947A49">
        <w:rPr>
          <w:rFonts w:cs="Arial"/>
          <w:color w:val="000000" w:themeColor="text1"/>
          <w:sz w:val="24"/>
          <w:szCs w:val="24"/>
        </w:rPr>
        <w:t>. К помещениям вспомог</w:t>
      </w:r>
      <w:r w:rsidRPr="00947A49">
        <w:rPr>
          <w:rFonts w:cs="Arial"/>
          <w:color w:val="000000" w:themeColor="text1"/>
          <w:sz w:val="24"/>
          <w:szCs w:val="24"/>
        </w:rPr>
        <w:t>а</w:t>
      </w:r>
      <w:r w:rsidRPr="00947A49">
        <w:rPr>
          <w:rFonts w:cs="Arial"/>
          <w:color w:val="000000" w:themeColor="text1"/>
          <w:sz w:val="24"/>
          <w:szCs w:val="24"/>
        </w:rPr>
        <w:t>тельного использования относятся кухни, передние, холлы, внутриквартирные коридоры, ванные или душевые, туалеты, кладовые или хозяйственные встр</w:t>
      </w:r>
      <w:r w:rsidRPr="00947A49">
        <w:rPr>
          <w:rFonts w:cs="Arial"/>
          <w:color w:val="000000" w:themeColor="text1"/>
          <w:sz w:val="24"/>
          <w:szCs w:val="24"/>
        </w:rPr>
        <w:t>о</w:t>
      </w:r>
      <w:r w:rsidRPr="00947A49">
        <w:rPr>
          <w:rFonts w:cs="Arial"/>
          <w:color w:val="000000" w:themeColor="text1"/>
          <w:sz w:val="24"/>
          <w:szCs w:val="24"/>
        </w:rPr>
        <w:t>енные шкафы. В домах-интернатах для престарелых и инвалидов, ветеранов, специальных домах для один</w:t>
      </w:r>
      <w:r w:rsidRPr="00947A49">
        <w:rPr>
          <w:rFonts w:cs="Arial"/>
          <w:color w:val="000000" w:themeColor="text1"/>
          <w:sz w:val="24"/>
          <w:szCs w:val="24"/>
        </w:rPr>
        <w:t>о</w:t>
      </w:r>
      <w:r w:rsidRPr="00947A49">
        <w:rPr>
          <w:rFonts w:cs="Arial"/>
          <w:color w:val="000000" w:themeColor="text1"/>
          <w:sz w:val="24"/>
          <w:szCs w:val="24"/>
        </w:rPr>
        <w:t>ких престарелых, детских домах к подсобным помещ</w:t>
      </w:r>
      <w:r w:rsidRPr="00947A49">
        <w:rPr>
          <w:rFonts w:cs="Arial"/>
          <w:color w:val="000000" w:themeColor="text1"/>
          <w:sz w:val="24"/>
          <w:szCs w:val="24"/>
        </w:rPr>
        <w:t>е</w:t>
      </w:r>
      <w:r w:rsidRPr="00947A49">
        <w:rPr>
          <w:rFonts w:cs="Arial"/>
          <w:color w:val="000000" w:themeColor="text1"/>
          <w:sz w:val="24"/>
          <w:szCs w:val="24"/>
        </w:rPr>
        <w:t>ниям относятся столовые, буфеты, клубы, спортивные залы, приемные пункты бытового обслуживания и м</w:t>
      </w:r>
      <w:r w:rsidRPr="00947A49">
        <w:rPr>
          <w:rFonts w:cs="Arial"/>
          <w:color w:val="000000" w:themeColor="text1"/>
          <w:sz w:val="24"/>
          <w:szCs w:val="24"/>
        </w:rPr>
        <w:t>е</w:t>
      </w:r>
      <w:r w:rsidRPr="00947A49">
        <w:rPr>
          <w:rFonts w:cs="Arial"/>
          <w:color w:val="000000" w:themeColor="text1"/>
          <w:sz w:val="24"/>
          <w:szCs w:val="24"/>
        </w:rPr>
        <w:t>дицинского обслуживания.</w:t>
      </w:r>
    </w:p>
    <w:p w:rsidR="00F81B22" w:rsidRPr="00947A49" w:rsidRDefault="00F81B22" w:rsidP="00F81B22">
      <w:pPr>
        <w:spacing w:line="235" w:lineRule="auto"/>
        <w:ind w:left="454" w:hanging="454"/>
        <w:jc w:val="both"/>
        <w:rPr>
          <w:rFonts w:cs="Arial"/>
          <w:color w:val="000000" w:themeColor="text1"/>
          <w:sz w:val="24"/>
          <w:szCs w:val="24"/>
        </w:rPr>
      </w:pPr>
      <w:r w:rsidRPr="00947A49">
        <w:rPr>
          <w:rFonts w:cs="Arial"/>
          <w:color w:val="000000" w:themeColor="text1"/>
          <w:sz w:val="24"/>
          <w:szCs w:val="24"/>
        </w:rPr>
        <w:t>В общую площадь жилых помещений не входит площадь вестибюлей, тамбуров, лестничных клеток, лифтовых холлов, общих коридоров, а также площадь в жилых домах, предназначенная для встроено-пристроенных помещений.</w:t>
      </w:r>
    </w:p>
    <w:p w:rsidR="00AE6E64" w:rsidRDefault="00AE6E64"/>
    <w:sectPr w:rsidR="00AE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22"/>
    <w:rsid w:val="00AE6E64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2"/>
    <w:pPr>
      <w:widowControl w:val="0"/>
    </w:pPr>
    <w:rPr>
      <w:rFonts w:ascii="Arial" w:eastAsia="Times New Roman" w:hAnsi="Arial" w:cs="Times New Roman"/>
      <w:sz w:val="1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2"/>
    <w:pPr>
      <w:widowControl w:val="0"/>
    </w:pPr>
    <w:rPr>
      <w:rFonts w:ascii="Arial" w:eastAsia="Times New Roman" w:hAnsi="Arial" w:cs="Times New Roman"/>
      <w:sz w:val="1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Владимировна</dc:creator>
  <cp:lastModifiedBy>Быкова Ольга Владимировна</cp:lastModifiedBy>
  <cp:revision>1</cp:revision>
  <dcterms:created xsi:type="dcterms:W3CDTF">2021-12-28T13:02:00Z</dcterms:created>
  <dcterms:modified xsi:type="dcterms:W3CDTF">2021-12-28T13:07:00Z</dcterms:modified>
</cp:coreProperties>
</file>